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Winnipeg (MB)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BUS-3102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BUS-3103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BUS-4002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BUS-2003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BUS-3003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BUS-3550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BUS-3120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BUS-3120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BUS-2819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BUS-2820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BUS-3819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BUS-3003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BUS-4920*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BUS-2002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BUS-2003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ACS-1803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BUS-3660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ECON-1102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ECON-1103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STAT-1301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STAT-1302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br w:type="textWrapping"/>
        <w:t xml:space="preserve">*New course development – provisional equivalency that will be further reviewed in April 2017. An exemption will be honored for students who successfully complete BUS-3003 and the January 2017 pilot offering of BUS-4920.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