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Université de Saint-Boniface (MB)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CO-201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CO-202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FI-201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FI-202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CO-101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CO-102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CO-205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CO-206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AD-102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AD-106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AD-206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MA-101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MA-201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 w:right="900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 w:right="900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** Course coverage is currently unavailable through this post-secondary institution and must be attained through another post-secondary institution and/or the CPA preparatory courses.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B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7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2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A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