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right="900" w:firstLine="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Regina (SK)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485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388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488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386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384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384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290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395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&amp; </w:t>
            </w:r>
            <w:r w:rsidDel="00000000" w:rsidR="00000000" w:rsidRPr="00000000">
              <w:rPr>
                <w:color w:val="000000"/>
                <w:rtl w:val="0"/>
              </w:rPr>
              <w:t xml:space="preserve">BUS 385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400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BUS 488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285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288 </w:t>
            </w:r>
            <w:r w:rsidDel="00000000" w:rsidR="00000000" w:rsidRPr="00000000">
              <w:rPr>
                <w:b w:val="1"/>
                <w:rtl w:val="0"/>
              </w:rPr>
              <w:t xml:space="preserve">&amp;</w:t>
            </w:r>
            <w:r w:rsidDel="00000000" w:rsidR="00000000" w:rsidRPr="00000000">
              <w:rPr>
                <w:rtl w:val="0"/>
              </w:rPr>
              <w:t xml:space="preserve"> BUS 388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375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CS </w:t>
            </w:r>
            <w:r w:rsidDel="00000000" w:rsidR="00000000" w:rsidRPr="00000000">
              <w:rPr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 307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201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202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STAT </w:t>
            </w:r>
            <w:r w:rsidDel="00000000" w:rsidR="00000000" w:rsidRPr="00000000">
              <w:rPr>
                <w:rtl w:val="0"/>
              </w:rPr>
              <w:t xml:space="preserve">270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&amp;</w:t>
            </w:r>
            <w:r w:rsidDel="00000000" w:rsidR="00000000" w:rsidRPr="00000000">
              <w:rPr>
                <w:rtl w:val="0"/>
              </w:rPr>
              <w:t xml:space="preserve"> BUS 275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