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Alberta, Masters of Business Administration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59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10"/>
        <w:gridCol w:w="2055"/>
        <w:gridCol w:w="1701"/>
        <w:gridCol w:w="2693"/>
        <w:tblGridChange w:id="0">
          <w:tblGrid>
            <w:gridCol w:w="3810"/>
            <w:gridCol w:w="2055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614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615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618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ACCTG 523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ACCTG 624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656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667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ACCTG 668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(FIN 501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502)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FIN 503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  <w:t xml:space="preserve">CCTG 626 </w:t>
            </w:r>
            <w:r w:rsidDel="00000000" w:rsidR="00000000" w:rsidRPr="00000000">
              <w:rPr>
                <w:b w:val="1"/>
                <w:rtl w:val="0"/>
              </w:rPr>
              <w:t xml:space="preserve">&amp;</w:t>
            </w:r>
            <w:r w:rsidDel="00000000" w:rsidR="00000000" w:rsidRPr="00000000">
              <w:rPr>
                <w:rtl w:val="0"/>
              </w:rPr>
              <w:t xml:space="preserve"> SMO 641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501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ACCT 523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MIS 611</w:t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BUEC 503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MGTSC 501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contextualSpacing w:val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