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D5" w:rsidRPr="00770BD5" w:rsidRDefault="00770BD5">
      <w:pPr>
        <w:rPr>
          <w:b/>
          <w:u w:val="single"/>
        </w:rPr>
      </w:pPr>
      <w:proofErr w:type="spellStart"/>
      <w:r w:rsidRPr="00770BD5">
        <w:rPr>
          <w:b/>
          <w:u w:val="single"/>
        </w:rPr>
        <w:t>Sprott</w:t>
      </w:r>
      <w:proofErr w:type="spellEnd"/>
      <w:r w:rsidRPr="00770BD5">
        <w:rPr>
          <w:b/>
          <w:u w:val="single"/>
        </w:rPr>
        <w:t xml:space="preserve"> PhD Alumni Profiles</w:t>
      </w:r>
    </w:p>
    <w:tbl>
      <w:tblPr>
        <w:tblStyle w:val="TableGrid"/>
        <w:tblW w:w="5000" w:type="pct"/>
        <w:tblLook w:val="04A0" w:firstRow="1" w:lastRow="0" w:firstColumn="1" w:lastColumn="0" w:noHBand="0" w:noVBand="1"/>
      </w:tblPr>
      <w:tblGrid>
        <w:gridCol w:w="2201"/>
        <w:gridCol w:w="1324"/>
        <w:gridCol w:w="1324"/>
        <w:gridCol w:w="6297"/>
        <w:gridCol w:w="3244"/>
      </w:tblGrid>
      <w:tr w:rsidR="008A1C74" w:rsidTr="000A0F94">
        <w:tc>
          <w:tcPr>
            <w:tcW w:w="765" w:type="pct"/>
            <w:tcBorders>
              <w:top w:val="single" w:sz="24" w:space="0" w:color="auto"/>
              <w:bottom w:val="single" w:sz="24" w:space="0" w:color="auto"/>
            </w:tcBorders>
          </w:tcPr>
          <w:p w:rsidR="00770BD5" w:rsidRPr="00770BD5" w:rsidRDefault="00770BD5" w:rsidP="00770BD5">
            <w:pPr>
              <w:jc w:val="center"/>
              <w:rPr>
                <w:b/>
              </w:rPr>
            </w:pPr>
            <w:r w:rsidRPr="00770BD5">
              <w:rPr>
                <w:b/>
              </w:rPr>
              <w:t>Name</w:t>
            </w:r>
          </w:p>
        </w:tc>
        <w:tc>
          <w:tcPr>
            <w:tcW w:w="460" w:type="pct"/>
            <w:tcBorders>
              <w:top w:val="single" w:sz="24" w:space="0" w:color="auto"/>
              <w:bottom w:val="single" w:sz="24" w:space="0" w:color="auto"/>
            </w:tcBorders>
          </w:tcPr>
          <w:p w:rsidR="00770BD5" w:rsidRPr="00770BD5" w:rsidRDefault="00770BD5" w:rsidP="00770BD5">
            <w:pPr>
              <w:jc w:val="center"/>
              <w:rPr>
                <w:b/>
              </w:rPr>
            </w:pPr>
            <w:r w:rsidRPr="00770BD5">
              <w:rPr>
                <w:b/>
              </w:rPr>
              <w:t>Graduation Year</w:t>
            </w:r>
          </w:p>
        </w:tc>
        <w:tc>
          <w:tcPr>
            <w:tcW w:w="460" w:type="pct"/>
            <w:tcBorders>
              <w:top w:val="single" w:sz="24" w:space="0" w:color="auto"/>
              <w:bottom w:val="single" w:sz="24" w:space="0" w:color="auto"/>
            </w:tcBorders>
          </w:tcPr>
          <w:p w:rsidR="00770BD5" w:rsidRPr="00770BD5" w:rsidRDefault="00770BD5" w:rsidP="00770BD5">
            <w:pPr>
              <w:jc w:val="center"/>
              <w:rPr>
                <w:b/>
              </w:rPr>
            </w:pPr>
            <w:r w:rsidRPr="00770BD5">
              <w:rPr>
                <w:b/>
              </w:rPr>
              <w:t>Supervisor</w:t>
            </w:r>
          </w:p>
        </w:tc>
        <w:tc>
          <w:tcPr>
            <w:tcW w:w="2188" w:type="pct"/>
            <w:tcBorders>
              <w:top w:val="single" w:sz="24" w:space="0" w:color="auto"/>
              <w:bottom w:val="single" w:sz="24" w:space="0" w:color="auto"/>
            </w:tcBorders>
          </w:tcPr>
          <w:p w:rsidR="00770BD5" w:rsidRPr="00770BD5" w:rsidRDefault="00770BD5" w:rsidP="00770BD5">
            <w:pPr>
              <w:jc w:val="center"/>
              <w:rPr>
                <w:b/>
              </w:rPr>
            </w:pPr>
            <w:r w:rsidRPr="00770BD5">
              <w:rPr>
                <w:b/>
              </w:rPr>
              <w:t>Thesis Title</w:t>
            </w:r>
          </w:p>
        </w:tc>
        <w:tc>
          <w:tcPr>
            <w:tcW w:w="1127" w:type="pct"/>
            <w:tcBorders>
              <w:top w:val="single" w:sz="24" w:space="0" w:color="auto"/>
              <w:bottom w:val="single" w:sz="24" w:space="0" w:color="auto"/>
            </w:tcBorders>
          </w:tcPr>
          <w:p w:rsidR="00770BD5" w:rsidRPr="00770BD5" w:rsidRDefault="00770BD5" w:rsidP="00770BD5">
            <w:pPr>
              <w:jc w:val="center"/>
              <w:rPr>
                <w:b/>
              </w:rPr>
            </w:pPr>
            <w:r w:rsidRPr="00770BD5">
              <w:rPr>
                <w:b/>
              </w:rPr>
              <w:t>Position</w:t>
            </w:r>
          </w:p>
        </w:tc>
      </w:tr>
      <w:tr w:rsidR="008A1C74" w:rsidTr="000A0F94">
        <w:tc>
          <w:tcPr>
            <w:tcW w:w="765" w:type="pct"/>
            <w:tcBorders>
              <w:top w:val="single" w:sz="24" w:space="0" w:color="auto"/>
              <w:bottom w:val="single" w:sz="4" w:space="0" w:color="auto"/>
            </w:tcBorders>
          </w:tcPr>
          <w:p w:rsidR="00770BD5" w:rsidRDefault="00770BD5">
            <w:r>
              <w:t>James Bowen</w:t>
            </w:r>
          </w:p>
        </w:tc>
        <w:tc>
          <w:tcPr>
            <w:tcW w:w="460" w:type="pct"/>
            <w:tcBorders>
              <w:top w:val="single" w:sz="24" w:space="0" w:color="auto"/>
              <w:bottom w:val="single" w:sz="4" w:space="0" w:color="auto"/>
            </w:tcBorders>
          </w:tcPr>
          <w:p w:rsidR="00770BD5" w:rsidRDefault="00770BD5">
            <w:r>
              <w:t>2001</w:t>
            </w:r>
          </w:p>
        </w:tc>
        <w:tc>
          <w:tcPr>
            <w:tcW w:w="460" w:type="pct"/>
            <w:tcBorders>
              <w:top w:val="single" w:sz="24" w:space="0" w:color="auto"/>
              <w:bottom w:val="single" w:sz="4" w:space="0" w:color="auto"/>
            </w:tcBorders>
          </w:tcPr>
          <w:p w:rsidR="00770BD5" w:rsidRDefault="00770BD5">
            <w:r>
              <w:t>G. Haines</w:t>
            </w:r>
          </w:p>
        </w:tc>
        <w:tc>
          <w:tcPr>
            <w:tcW w:w="2188" w:type="pct"/>
            <w:tcBorders>
              <w:top w:val="single" w:sz="24" w:space="0" w:color="auto"/>
              <w:bottom w:val="single" w:sz="4" w:space="0" w:color="auto"/>
            </w:tcBorders>
          </w:tcPr>
          <w:p w:rsidR="00770BD5" w:rsidRDefault="00770BD5">
            <w:r w:rsidRPr="00770BD5">
              <w:t>A Model to Assist in the Growth of Technology-Based Product</w:t>
            </w:r>
          </w:p>
        </w:tc>
        <w:tc>
          <w:tcPr>
            <w:tcW w:w="1127" w:type="pct"/>
            <w:tcBorders>
              <w:top w:val="single" w:sz="24" w:space="0" w:color="auto"/>
              <w:bottom w:val="single" w:sz="4" w:space="0" w:color="auto"/>
            </w:tcBorders>
          </w:tcPr>
          <w:p w:rsidR="00770BD5" w:rsidRDefault="00770BD5">
            <w:r>
              <w:t>See profile below</w:t>
            </w:r>
          </w:p>
        </w:tc>
      </w:tr>
      <w:tr w:rsidR="008A1C74" w:rsidTr="009254D5">
        <w:tc>
          <w:tcPr>
            <w:tcW w:w="765" w:type="pct"/>
            <w:tcBorders>
              <w:bottom w:val="single" w:sz="24" w:space="0" w:color="auto"/>
            </w:tcBorders>
          </w:tcPr>
          <w:p w:rsidR="00770BD5" w:rsidRDefault="00770BD5" w:rsidP="00770BD5">
            <w:pPr>
              <w:jc w:val="right"/>
            </w:pPr>
            <w:r>
              <w:t>Profile:</w:t>
            </w:r>
          </w:p>
        </w:tc>
        <w:tc>
          <w:tcPr>
            <w:tcW w:w="4235" w:type="pct"/>
            <w:gridSpan w:val="4"/>
            <w:tcBorders>
              <w:bottom w:val="single" w:sz="24" w:space="0" w:color="auto"/>
            </w:tcBorders>
          </w:tcPr>
          <w:p w:rsidR="00770BD5" w:rsidRDefault="00770BD5" w:rsidP="00770BD5">
            <w:pPr>
              <w:pStyle w:val="PlainText"/>
            </w:pPr>
            <w:r>
              <w:t xml:space="preserve">At age 21 and while still in undergraduate university James co-founded a software company. Over the next 20 years he and his co-founders grew an international client base. His management experience has covered all aspects of an organization including operations, business development, product development, project delivery and strategy. His technology experience included software development and consulting with a broad range of technologies. His customer experience included government, military, industry, nonprofit and educational institutions throughout North America and in some parts of the rest of the world. </w:t>
            </w:r>
          </w:p>
          <w:p w:rsidR="00770BD5" w:rsidRDefault="00770BD5" w:rsidP="00770BD5">
            <w:pPr>
              <w:pStyle w:val="PlainText"/>
            </w:pPr>
            <w:r>
              <w:t>Dr. Bowen has been interviewed on the internet, radio, magazine, T.V. and newspaper both in North America and Europe. He has given presentations or seminars on technology and business insights. He was the sole author of two books discussing the creation and growth of high-tech product companies. He recently published his third book “The Entrepreneurial Effect”, which drew upon his wide network of entrepreneurs in a collaborative approach, focused on lessons learned from entrepreneurs and investors. The second in the series was published in 2011. He is the originator of the Entrepreneurial Effect Award for entrepreneurs.</w:t>
            </w:r>
          </w:p>
          <w:p w:rsidR="00770BD5" w:rsidRDefault="00770BD5" w:rsidP="00770BD5">
            <w:pPr>
              <w:pStyle w:val="PlainText"/>
            </w:pPr>
            <w:r>
              <w:t>He is associated with 10 universities including 3 in Europe where he teaches MBAs over 12 subject areas including: technology, leadership, marketing, supply chain management, project management, entrepreneurship and strategy.  In the last decade, he has taught 200 courses to 8000 students.</w:t>
            </w:r>
          </w:p>
          <w:p w:rsidR="00770BD5" w:rsidRDefault="00770BD5" w:rsidP="00770BD5">
            <w:pPr>
              <w:pStyle w:val="PlainText"/>
            </w:pPr>
            <w:r>
              <w:t>His volunteer work includes his city’s technology industry development agency’s Innovation Leadership Team. Currently he is the vice chair of Start-up Canada’s Entrepreneurial Effect awards.  He wrote, for three years, the monthly theme article discussing the technology industry and its management issues for a technology industry newspaper.</w:t>
            </w:r>
          </w:p>
          <w:p w:rsidR="00770BD5" w:rsidRDefault="00770BD5" w:rsidP="00770BD5">
            <w:pPr>
              <w:pStyle w:val="PlainText"/>
            </w:pPr>
            <w:r>
              <w:t xml:space="preserve">He is active with technology companies and investors and regularly provides advice to technology companies, he has been on the board of mentors of start-up incubators: </w:t>
            </w:r>
            <w:proofErr w:type="spellStart"/>
            <w:r>
              <w:t>Exploriem</w:t>
            </w:r>
            <w:proofErr w:type="spellEnd"/>
            <w:r>
              <w:t xml:space="preserve"> and </w:t>
            </w:r>
            <w:proofErr w:type="spellStart"/>
            <w:r>
              <w:t>Hatchbrands</w:t>
            </w:r>
            <w:proofErr w:type="spellEnd"/>
            <w:r>
              <w:t>.</w:t>
            </w:r>
          </w:p>
          <w:p w:rsidR="00770BD5" w:rsidRDefault="00770BD5" w:rsidP="00770BD5">
            <w:pPr>
              <w:pStyle w:val="PlainText"/>
            </w:pPr>
            <w:r>
              <w:t>He is the inventor of an underwater localization system using passive sonar, a task management system and an archaeological object localization system that uses ultrasonic and infrared.</w:t>
            </w:r>
          </w:p>
          <w:p w:rsidR="00770BD5" w:rsidRDefault="00770BD5" w:rsidP="00770BD5">
            <w:pPr>
              <w:pStyle w:val="PlainText"/>
            </w:pPr>
            <w:r>
              <w:t>He is currently working on his 4th and 5th start-ups</w:t>
            </w:r>
          </w:p>
          <w:p w:rsidR="00770BD5" w:rsidRDefault="00770BD5"/>
        </w:tc>
      </w:tr>
      <w:tr w:rsidR="008A1C74" w:rsidTr="000A0F94">
        <w:tc>
          <w:tcPr>
            <w:tcW w:w="765" w:type="pct"/>
            <w:tcBorders>
              <w:top w:val="single" w:sz="24" w:space="0" w:color="auto"/>
              <w:bottom w:val="single" w:sz="4" w:space="0" w:color="auto"/>
            </w:tcBorders>
          </w:tcPr>
          <w:p w:rsidR="00770BD5" w:rsidRDefault="00770BD5">
            <w:r>
              <w:t>Mark Julien</w:t>
            </w:r>
          </w:p>
        </w:tc>
        <w:tc>
          <w:tcPr>
            <w:tcW w:w="460" w:type="pct"/>
            <w:tcBorders>
              <w:top w:val="single" w:sz="24" w:space="0" w:color="auto"/>
              <w:bottom w:val="single" w:sz="4" w:space="0" w:color="auto"/>
            </w:tcBorders>
          </w:tcPr>
          <w:p w:rsidR="00770BD5" w:rsidRDefault="00770BD5">
            <w:r>
              <w:t>2007</w:t>
            </w:r>
          </w:p>
        </w:tc>
        <w:tc>
          <w:tcPr>
            <w:tcW w:w="460" w:type="pct"/>
            <w:tcBorders>
              <w:top w:val="single" w:sz="24" w:space="0" w:color="auto"/>
              <w:bottom w:val="single" w:sz="4" w:space="0" w:color="auto"/>
            </w:tcBorders>
          </w:tcPr>
          <w:p w:rsidR="00770BD5" w:rsidRDefault="00770BD5">
            <w:r>
              <w:t>L. Duxbury</w:t>
            </w:r>
          </w:p>
        </w:tc>
        <w:tc>
          <w:tcPr>
            <w:tcW w:w="2188" w:type="pct"/>
            <w:tcBorders>
              <w:top w:val="single" w:sz="24" w:space="0" w:color="auto"/>
              <w:bottom w:val="single" w:sz="4" w:space="0" w:color="auto"/>
            </w:tcBorders>
          </w:tcPr>
          <w:p w:rsidR="00770BD5" w:rsidRDefault="00770BD5">
            <w:r w:rsidRPr="00770BD5">
              <w:t>Finding Solutions to Work-Life Conflict: Examining Models of Control Over Work-Life Interface</w:t>
            </w:r>
          </w:p>
        </w:tc>
        <w:tc>
          <w:tcPr>
            <w:tcW w:w="1127" w:type="pct"/>
            <w:tcBorders>
              <w:top w:val="single" w:sz="24" w:space="0" w:color="auto"/>
              <w:bottom w:val="single" w:sz="4" w:space="0" w:color="auto"/>
            </w:tcBorders>
          </w:tcPr>
          <w:p w:rsidR="00770BD5" w:rsidRDefault="00770BD5" w:rsidP="00770BD5">
            <w:r>
              <w:t xml:space="preserve">Associate </w:t>
            </w:r>
            <w:r w:rsidR="00FB6E98">
              <w:t>Professor</w:t>
            </w:r>
          </w:p>
          <w:p w:rsidR="00770BD5" w:rsidRDefault="00770BD5" w:rsidP="00770BD5">
            <w:r>
              <w:t xml:space="preserve">Goodman School of </w:t>
            </w:r>
            <w:r w:rsidR="00FB6E98">
              <w:t>Business</w:t>
            </w:r>
            <w:r>
              <w:t xml:space="preserve"> </w:t>
            </w:r>
          </w:p>
          <w:p w:rsidR="00770BD5" w:rsidRDefault="00770BD5" w:rsidP="00770BD5">
            <w:r>
              <w:t>Brock University</w:t>
            </w:r>
          </w:p>
        </w:tc>
      </w:tr>
      <w:tr w:rsidR="00FB6E98" w:rsidTr="009254D5">
        <w:tc>
          <w:tcPr>
            <w:tcW w:w="765" w:type="pct"/>
            <w:tcBorders>
              <w:bottom w:val="single" w:sz="24" w:space="0" w:color="auto"/>
            </w:tcBorders>
          </w:tcPr>
          <w:p w:rsidR="00FB6E98" w:rsidRDefault="00FB6E98" w:rsidP="00FB6E98">
            <w:pPr>
              <w:jc w:val="right"/>
            </w:pPr>
            <w:r>
              <w:t>Profile:</w:t>
            </w:r>
          </w:p>
          <w:p w:rsidR="00FB6E98" w:rsidRDefault="00FB6E98" w:rsidP="00FB6E98">
            <w:pPr>
              <w:jc w:val="center"/>
            </w:pPr>
            <w:r w:rsidRPr="00FB6E98">
              <w:rPr>
                <w:noProof/>
              </w:rPr>
              <w:drawing>
                <wp:inline distT="0" distB="0" distL="0" distR="0">
                  <wp:extent cx="1041621" cy="1041621"/>
                  <wp:effectExtent l="0" t="0" r="6350" b="6350"/>
                  <wp:docPr id="1" name="Picture 1" descr="C:\Users\jessicawhitney\AppData\Local\Microsoft\Windows\Temporary Internet Files\Content.Outlook\CTRZ0KJM\mark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whitney\AppData\Local\Microsoft\Windows\Temporary Internet Files\Content.Outlook\CTRZ0KJM\mark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573" cy="1054573"/>
                          </a:xfrm>
                          <a:prstGeom prst="rect">
                            <a:avLst/>
                          </a:prstGeom>
                          <a:noFill/>
                          <a:ln>
                            <a:noFill/>
                          </a:ln>
                        </pic:spPr>
                      </pic:pic>
                    </a:graphicData>
                  </a:graphic>
                </wp:inline>
              </w:drawing>
            </w:r>
          </w:p>
          <w:p w:rsidR="00FB6E98" w:rsidRDefault="00FB6E98" w:rsidP="00FB6E98">
            <w:pPr>
              <w:jc w:val="center"/>
            </w:pPr>
          </w:p>
        </w:tc>
        <w:tc>
          <w:tcPr>
            <w:tcW w:w="4235" w:type="pct"/>
            <w:gridSpan w:val="4"/>
            <w:tcBorders>
              <w:bottom w:val="single" w:sz="24" w:space="0" w:color="auto"/>
            </w:tcBorders>
          </w:tcPr>
          <w:p w:rsidR="00FB6E98" w:rsidRDefault="00FB6E98">
            <w:r>
              <w:t>I am an Associate Professor in the Goodman School of Business at Brock University.   I have been a visiting professor for universities in Poland and France and I have published in several peer-reviewed journals (e.g. Journal of Management Education, Leadership Quarterly).  I have been able to present my research at conferences across North America and Europe.  My main research interests are management education and diversity.</w:t>
            </w:r>
          </w:p>
        </w:tc>
      </w:tr>
      <w:tr w:rsidR="008A1C74" w:rsidTr="000A0F94">
        <w:tc>
          <w:tcPr>
            <w:tcW w:w="765" w:type="pct"/>
            <w:tcBorders>
              <w:top w:val="single" w:sz="24" w:space="0" w:color="auto"/>
              <w:bottom w:val="single" w:sz="4" w:space="0" w:color="auto"/>
            </w:tcBorders>
          </w:tcPr>
          <w:p w:rsidR="00770BD5" w:rsidRDefault="00FB6E98">
            <w:r>
              <w:lastRenderedPageBreak/>
              <w:t>Peter Knight</w:t>
            </w:r>
          </w:p>
        </w:tc>
        <w:tc>
          <w:tcPr>
            <w:tcW w:w="460" w:type="pct"/>
            <w:tcBorders>
              <w:top w:val="single" w:sz="24" w:space="0" w:color="auto"/>
              <w:bottom w:val="single" w:sz="4" w:space="0" w:color="auto"/>
            </w:tcBorders>
          </w:tcPr>
          <w:p w:rsidR="00770BD5" w:rsidRDefault="00FB6E98">
            <w:r>
              <w:t>2008</w:t>
            </w:r>
          </w:p>
        </w:tc>
        <w:tc>
          <w:tcPr>
            <w:tcW w:w="460" w:type="pct"/>
            <w:tcBorders>
              <w:top w:val="single" w:sz="24" w:space="0" w:color="auto"/>
              <w:bottom w:val="single" w:sz="4" w:space="0" w:color="auto"/>
            </w:tcBorders>
          </w:tcPr>
          <w:p w:rsidR="00770BD5" w:rsidRDefault="00FB6E98">
            <w:r>
              <w:t xml:space="preserve">L. </w:t>
            </w:r>
            <w:proofErr w:type="spellStart"/>
            <w:r>
              <w:t>Heslop</w:t>
            </w:r>
            <w:proofErr w:type="spellEnd"/>
          </w:p>
        </w:tc>
        <w:tc>
          <w:tcPr>
            <w:tcW w:w="2188" w:type="pct"/>
            <w:tcBorders>
              <w:top w:val="single" w:sz="24" w:space="0" w:color="auto"/>
              <w:bottom w:val="single" w:sz="4" w:space="0" w:color="auto"/>
            </w:tcBorders>
          </w:tcPr>
          <w:p w:rsidR="00770BD5" w:rsidRDefault="00FB6E98">
            <w:r w:rsidRPr="00FB6E98">
              <w:t>Determinants of Marketer Satisfaction with the Choice of Electronic Marketplace Type</w:t>
            </w:r>
          </w:p>
        </w:tc>
        <w:tc>
          <w:tcPr>
            <w:tcW w:w="1127" w:type="pct"/>
            <w:tcBorders>
              <w:top w:val="single" w:sz="24" w:space="0" w:color="auto"/>
              <w:bottom w:val="single" w:sz="4" w:space="0" w:color="auto"/>
            </w:tcBorders>
          </w:tcPr>
          <w:p w:rsidR="00FB6E98" w:rsidRPr="00FB6E98" w:rsidRDefault="00FB6E98" w:rsidP="00FB6E98">
            <w:r>
              <w:t xml:space="preserve">Chair, </w:t>
            </w:r>
            <w:r w:rsidRPr="00FB6E98">
              <w:t xml:space="preserve">Business Department </w:t>
            </w:r>
          </w:p>
          <w:p w:rsidR="00FB6E98" w:rsidRPr="00FB6E98" w:rsidRDefault="00FB6E98" w:rsidP="00FB6E98">
            <w:r w:rsidRPr="00FB6E98">
              <w:t>Associate Professor of Marketing  </w:t>
            </w:r>
          </w:p>
          <w:p w:rsidR="00770BD5" w:rsidRDefault="00FB6E98">
            <w:r w:rsidRPr="00FB6E98">
              <w:t>University of Wisconsin-Parkside</w:t>
            </w:r>
          </w:p>
        </w:tc>
      </w:tr>
      <w:tr w:rsidR="00FB6E98" w:rsidTr="009254D5">
        <w:tc>
          <w:tcPr>
            <w:tcW w:w="765" w:type="pct"/>
            <w:tcBorders>
              <w:bottom w:val="single" w:sz="24" w:space="0" w:color="auto"/>
            </w:tcBorders>
          </w:tcPr>
          <w:p w:rsidR="00FB6E98" w:rsidRDefault="00FB6E98" w:rsidP="00FB6E98">
            <w:pPr>
              <w:jc w:val="right"/>
            </w:pPr>
            <w:r>
              <w:t>Profile:</w:t>
            </w:r>
          </w:p>
          <w:p w:rsidR="00FB6E98" w:rsidRDefault="00FB6E98" w:rsidP="00FB6E98">
            <w:pPr>
              <w:jc w:val="center"/>
            </w:pPr>
            <w:r w:rsidRPr="00FB6E98">
              <w:rPr>
                <w:noProof/>
              </w:rPr>
              <w:drawing>
                <wp:inline distT="0" distB="0" distL="0" distR="0">
                  <wp:extent cx="954156" cy="954156"/>
                  <wp:effectExtent l="0" t="0" r="0" b="0"/>
                  <wp:docPr id="2" name="Picture 2" descr="C:\Users\jessicawhitney\AppData\Local\Microsoft\Windows\Temporary Internet Files\Content.Outlook\CTRZ0KJM\1e2a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whitney\AppData\Local\Microsoft\Windows\Temporary Internet Files\Content.Outlook\CTRZ0KJM\1e2a14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6332" cy="966332"/>
                          </a:xfrm>
                          <a:prstGeom prst="rect">
                            <a:avLst/>
                          </a:prstGeom>
                          <a:noFill/>
                          <a:ln>
                            <a:noFill/>
                          </a:ln>
                        </pic:spPr>
                      </pic:pic>
                    </a:graphicData>
                  </a:graphic>
                </wp:inline>
              </w:drawing>
            </w:r>
          </w:p>
        </w:tc>
        <w:tc>
          <w:tcPr>
            <w:tcW w:w="4235" w:type="pct"/>
            <w:gridSpan w:val="4"/>
            <w:tcBorders>
              <w:bottom w:val="single" w:sz="24" w:space="0" w:color="auto"/>
            </w:tcBorders>
          </w:tcPr>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Chair-Business Department- Chair Executive Committee re personnel and policy decisions in a period of volatile change, schedule and monitor 23 faculty and lecturers, hire and mentor adjuncts, spearheaded development of online degree completion and competency based learning options    </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Chair- Institutional Review Board</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Director- Sales Certificate Program-Developed and gained approval for 4 course Sales Certificate. Undergraduate and graduate Sales students have earned 30 awards at National Competitions since 2009, including a National Championship in 2013 at the National Team Selling Competition  </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Principal Investigator-</w:t>
            </w:r>
            <w:proofErr w:type="spellStart"/>
            <w:r w:rsidRPr="00FB6E98">
              <w:rPr>
                <w:rFonts w:ascii="Calibri" w:hAnsi="Calibri"/>
                <w:color w:val="000000"/>
                <w:sz w:val="22"/>
                <w:szCs w:val="22"/>
              </w:rPr>
              <w:t>Procubed</w:t>
            </w:r>
            <w:proofErr w:type="spellEnd"/>
            <w:r w:rsidRPr="00FB6E98">
              <w:rPr>
                <w:rFonts w:ascii="Calibri" w:hAnsi="Calibri"/>
                <w:color w:val="000000"/>
                <w:sz w:val="22"/>
                <w:szCs w:val="22"/>
              </w:rPr>
              <w:t xml:space="preserve"> LLC Wheelchair Design managed  $300,000 grant</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 xml:space="preserve">Flex Option Developer- </w:t>
            </w:r>
            <w:hyperlink r:id="rId7" w:history="1">
              <w:r w:rsidRPr="00FB6E98">
                <w:rPr>
                  <w:rStyle w:val="Hyperlink"/>
                  <w:rFonts w:ascii="Calibri" w:hAnsi="Calibri"/>
                  <w:sz w:val="22"/>
                  <w:szCs w:val="22"/>
                </w:rPr>
                <w:t>http://www.uwp.edu/news/pdf/WalkerFlex.pdf</w:t>
              </w:r>
            </w:hyperlink>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Instructor- UW MBA Consortium -Top 10 MBA Program in US in 2014, according to US News and World Report</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 xml:space="preserve">External Reviewer </w:t>
            </w:r>
            <w:proofErr w:type="spellStart"/>
            <w:r w:rsidRPr="00FB6E98">
              <w:rPr>
                <w:rFonts w:ascii="Calibri" w:hAnsi="Calibri"/>
                <w:color w:val="000000"/>
                <w:sz w:val="22"/>
                <w:szCs w:val="22"/>
              </w:rPr>
              <w:t>Ph.D</w:t>
            </w:r>
            <w:proofErr w:type="spellEnd"/>
            <w:r w:rsidRPr="00FB6E98">
              <w:rPr>
                <w:rFonts w:ascii="Calibri" w:hAnsi="Calibri"/>
                <w:color w:val="000000"/>
                <w:sz w:val="22"/>
                <w:szCs w:val="22"/>
              </w:rPr>
              <w:t xml:space="preserve"> Candidate </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Best Paper- Marketing Management Association International Conference-2013  </w:t>
            </w:r>
          </w:p>
          <w:p w:rsidR="00FB6E98" w:rsidRPr="00FB6E98" w:rsidRDefault="00FB6E98" w:rsidP="00FB6E98">
            <w:pPr>
              <w:pStyle w:val="NormalWeb"/>
              <w:numPr>
                <w:ilvl w:val="0"/>
                <w:numId w:val="1"/>
              </w:numPr>
              <w:rPr>
                <w:rFonts w:ascii="Calibri" w:hAnsi="Calibri"/>
                <w:color w:val="000000"/>
                <w:sz w:val="22"/>
                <w:szCs w:val="22"/>
              </w:rPr>
            </w:pPr>
            <w:r w:rsidRPr="00FB6E98">
              <w:rPr>
                <w:rFonts w:ascii="Calibri" w:hAnsi="Calibri"/>
                <w:color w:val="000000"/>
                <w:sz w:val="22"/>
                <w:szCs w:val="22"/>
              </w:rPr>
              <w:t>Campus-wide award- Community Based Project Learning Award 2015    </w:t>
            </w:r>
          </w:p>
          <w:p w:rsidR="00FB6E98" w:rsidRDefault="00FB6E98"/>
        </w:tc>
      </w:tr>
      <w:tr w:rsidR="008A1C74" w:rsidTr="000A0F94">
        <w:tc>
          <w:tcPr>
            <w:tcW w:w="765" w:type="pct"/>
            <w:tcBorders>
              <w:top w:val="single" w:sz="24" w:space="0" w:color="auto"/>
              <w:bottom w:val="single" w:sz="24" w:space="0" w:color="auto"/>
            </w:tcBorders>
          </w:tcPr>
          <w:p w:rsidR="00770BD5" w:rsidRDefault="00FB6E98">
            <w:r>
              <w:t>John Nadeau</w:t>
            </w:r>
          </w:p>
          <w:p w:rsidR="00765F72" w:rsidRDefault="00765F72">
            <w:r w:rsidRPr="00765F72">
              <w:rPr>
                <w:noProof/>
              </w:rPr>
              <w:drawing>
                <wp:inline distT="0" distB="0" distL="0" distR="0">
                  <wp:extent cx="1190625" cy="1638935"/>
                  <wp:effectExtent l="0" t="0" r="9525" b="0"/>
                  <wp:docPr id="3" name="Picture 3" descr="C:\Users\jessicawhitney\AppData\Local\Microsoft\Windows\Temporary Internet Files\Content.Outlook\CTRZ0KJM\JohnNa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whitney\AppData\Local\Microsoft\Windows\Temporary Internet Files\Content.Outlook\CTRZ0KJM\JohnNade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38935"/>
                          </a:xfrm>
                          <a:prstGeom prst="rect">
                            <a:avLst/>
                          </a:prstGeom>
                          <a:noFill/>
                          <a:ln>
                            <a:noFill/>
                          </a:ln>
                        </pic:spPr>
                      </pic:pic>
                    </a:graphicData>
                  </a:graphic>
                </wp:inline>
              </w:drawing>
            </w:r>
          </w:p>
        </w:tc>
        <w:tc>
          <w:tcPr>
            <w:tcW w:w="460" w:type="pct"/>
            <w:tcBorders>
              <w:top w:val="single" w:sz="24" w:space="0" w:color="auto"/>
              <w:bottom w:val="single" w:sz="24" w:space="0" w:color="auto"/>
            </w:tcBorders>
          </w:tcPr>
          <w:p w:rsidR="00770BD5" w:rsidRDefault="00765F72">
            <w:r>
              <w:t>2007</w:t>
            </w:r>
          </w:p>
        </w:tc>
        <w:tc>
          <w:tcPr>
            <w:tcW w:w="460" w:type="pct"/>
            <w:tcBorders>
              <w:top w:val="single" w:sz="24" w:space="0" w:color="auto"/>
              <w:bottom w:val="single" w:sz="24" w:space="0" w:color="auto"/>
            </w:tcBorders>
          </w:tcPr>
          <w:p w:rsidR="00770BD5" w:rsidRDefault="00765F72">
            <w:r>
              <w:t xml:space="preserve">L. </w:t>
            </w:r>
            <w:proofErr w:type="spellStart"/>
            <w:r>
              <w:t>Heslop</w:t>
            </w:r>
            <w:proofErr w:type="spellEnd"/>
          </w:p>
        </w:tc>
        <w:tc>
          <w:tcPr>
            <w:tcW w:w="2188" w:type="pct"/>
            <w:tcBorders>
              <w:top w:val="single" w:sz="24" w:space="0" w:color="auto"/>
              <w:bottom w:val="single" w:sz="24" w:space="0" w:color="auto"/>
            </w:tcBorders>
          </w:tcPr>
          <w:p w:rsidR="00770BD5" w:rsidRDefault="00765F72">
            <w:r w:rsidRPr="00765F72">
              <w:t>Personality Correlates of Response to Motivation-Based Branding Appeals of Developing Countries</w:t>
            </w:r>
          </w:p>
        </w:tc>
        <w:tc>
          <w:tcPr>
            <w:tcW w:w="1127" w:type="pct"/>
            <w:tcBorders>
              <w:top w:val="single" w:sz="24" w:space="0" w:color="auto"/>
              <w:bottom w:val="single" w:sz="24" w:space="0" w:color="auto"/>
            </w:tcBorders>
          </w:tcPr>
          <w:p w:rsidR="00765F72" w:rsidRDefault="00765F72">
            <w:r>
              <w:t xml:space="preserve">Associate Professor, Marketing </w:t>
            </w:r>
          </w:p>
          <w:p w:rsidR="00765F72" w:rsidRDefault="00765F72" w:rsidP="00765F72">
            <w:r w:rsidRPr="00765F72">
              <w:t xml:space="preserve">Nipissing University </w:t>
            </w:r>
          </w:p>
          <w:p w:rsidR="00765F72" w:rsidRDefault="00765F72" w:rsidP="00765F72">
            <w:r>
              <w:t>(recently Director of the School of Business, Nipissing University)</w:t>
            </w:r>
          </w:p>
          <w:p w:rsidR="00765F72" w:rsidRDefault="00765F72" w:rsidP="00765F72"/>
          <w:p w:rsidR="00765F72" w:rsidRDefault="00765F72" w:rsidP="00765F72">
            <w:r w:rsidRPr="00765F72">
              <w:t xml:space="preserve">Adjunct Professor </w:t>
            </w:r>
          </w:p>
          <w:p w:rsidR="00770BD5" w:rsidRPr="00765F72" w:rsidRDefault="00765F72" w:rsidP="00765F72">
            <w:r w:rsidRPr="00765F72">
              <w:t>University of Ottawa</w:t>
            </w:r>
          </w:p>
        </w:tc>
      </w:tr>
      <w:tr w:rsidR="008A1C74" w:rsidTr="000A0F94">
        <w:tc>
          <w:tcPr>
            <w:tcW w:w="765" w:type="pct"/>
            <w:tcBorders>
              <w:top w:val="single" w:sz="24" w:space="0" w:color="auto"/>
              <w:bottom w:val="single" w:sz="4" w:space="0" w:color="auto"/>
            </w:tcBorders>
          </w:tcPr>
          <w:p w:rsidR="00770BD5" w:rsidRDefault="00765F72">
            <w:r>
              <w:t xml:space="preserve">Joanne </w:t>
            </w:r>
            <w:proofErr w:type="spellStart"/>
            <w:r>
              <w:t>McNeish</w:t>
            </w:r>
            <w:proofErr w:type="spellEnd"/>
          </w:p>
        </w:tc>
        <w:tc>
          <w:tcPr>
            <w:tcW w:w="460" w:type="pct"/>
            <w:tcBorders>
              <w:top w:val="single" w:sz="24" w:space="0" w:color="auto"/>
              <w:bottom w:val="single" w:sz="4" w:space="0" w:color="auto"/>
            </w:tcBorders>
          </w:tcPr>
          <w:p w:rsidR="00770BD5" w:rsidRDefault="00765F72">
            <w:r>
              <w:t>2010</w:t>
            </w:r>
          </w:p>
        </w:tc>
        <w:tc>
          <w:tcPr>
            <w:tcW w:w="460" w:type="pct"/>
            <w:tcBorders>
              <w:top w:val="single" w:sz="24" w:space="0" w:color="auto"/>
              <w:bottom w:val="single" w:sz="4" w:space="0" w:color="auto"/>
            </w:tcBorders>
          </w:tcPr>
          <w:p w:rsidR="00770BD5" w:rsidRDefault="00765F72">
            <w:r>
              <w:t xml:space="preserve">L. </w:t>
            </w:r>
            <w:proofErr w:type="spellStart"/>
            <w:r>
              <w:t>Heslop</w:t>
            </w:r>
            <w:proofErr w:type="spellEnd"/>
          </w:p>
        </w:tc>
        <w:tc>
          <w:tcPr>
            <w:tcW w:w="2188" w:type="pct"/>
            <w:tcBorders>
              <w:top w:val="single" w:sz="24" w:space="0" w:color="auto"/>
              <w:bottom w:val="single" w:sz="4" w:space="0" w:color="auto"/>
            </w:tcBorders>
          </w:tcPr>
          <w:p w:rsidR="00770BD5" w:rsidRDefault="00765F72">
            <w:r w:rsidRPr="00765F72">
              <w:t>Consumers' Resistance to Discontinuing a Familiar Technology, The Paper Bill</w:t>
            </w:r>
          </w:p>
        </w:tc>
        <w:tc>
          <w:tcPr>
            <w:tcW w:w="1127" w:type="pct"/>
            <w:tcBorders>
              <w:top w:val="single" w:sz="24" w:space="0" w:color="auto"/>
              <w:bottom w:val="single" w:sz="4" w:space="0" w:color="auto"/>
            </w:tcBorders>
          </w:tcPr>
          <w:p w:rsidR="00765F72" w:rsidRDefault="00765F72" w:rsidP="00765F72">
            <w:r>
              <w:t>2015-present</w:t>
            </w:r>
          </w:p>
          <w:p w:rsidR="00765F72" w:rsidRDefault="00765F72" w:rsidP="00765F72">
            <w:r>
              <w:t>Associate Professor, Marketing</w:t>
            </w:r>
          </w:p>
          <w:p w:rsidR="00765F72" w:rsidRDefault="00765F72" w:rsidP="00765F72">
            <w:r>
              <w:t>Ted Rogers School of Management</w:t>
            </w:r>
          </w:p>
          <w:p w:rsidR="00765F72" w:rsidRDefault="00765F72" w:rsidP="00765F72">
            <w:r>
              <w:t>Ryerson University</w:t>
            </w:r>
          </w:p>
          <w:p w:rsidR="00765F72" w:rsidRDefault="00765F72" w:rsidP="00765F72"/>
          <w:p w:rsidR="00765F72" w:rsidRDefault="00765F72" w:rsidP="00765F72">
            <w:r>
              <w:t>2010-2015</w:t>
            </w:r>
          </w:p>
          <w:p w:rsidR="00765F72" w:rsidRDefault="00765F72" w:rsidP="00765F72">
            <w:r>
              <w:t>Assistant Professor, Marketing</w:t>
            </w:r>
          </w:p>
          <w:p w:rsidR="00765F72" w:rsidRDefault="00765F72" w:rsidP="00765F72">
            <w:r>
              <w:t>Ted Rogers School of Management</w:t>
            </w:r>
          </w:p>
          <w:p w:rsidR="00765F72" w:rsidRDefault="00765F72" w:rsidP="00765F72">
            <w:r>
              <w:lastRenderedPageBreak/>
              <w:t>Ryerson University</w:t>
            </w:r>
          </w:p>
          <w:p w:rsidR="00770BD5" w:rsidRDefault="00770BD5"/>
        </w:tc>
      </w:tr>
      <w:tr w:rsidR="00765F72" w:rsidTr="009254D5">
        <w:tc>
          <w:tcPr>
            <w:tcW w:w="765" w:type="pct"/>
            <w:tcBorders>
              <w:bottom w:val="single" w:sz="24" w:space="0" w:color="auto"/>
            </w:tcBorders>
          </w:tcPr>
          <w:p w:rsidR="00765F72" w:rsidRDefault="00765F72" w:rsidP="00765F72">
            <w:pPr>
              <w:jc w:val="right"/>
            </w:pPr>
            <w:r>
              <w:lastRenderedPageBreak/>
              <w:t>Profile:</w:t>
            </w:r>
          </w:p>
          <w:p w:rsidR="00765F72" w:rsidRDefault="009254D5" w:rsidP="00765F72">
            <w:pPr>
              <w:jc w:val="right"/>
            </w:pPr>
            <w:r w:rsidRPr="009254D5">
              <w:rPr>
                <w:noProof/>
              </w:rPr>
              <w:drawing>
                <wp:inline distT="0" distB="0" distL="0" distR="0">
                  <wp:extent cx="1260834" cy="1121434"/>
                  <wp:effectExtent l="0" t="0" r="0" b="2540"/>
                  <wp:docPr id="4" name="Picture 4" descr="C:\Users\jessicawhitney\AppData\Local\Microsoft\Windows\Temporary Internet Files\Content.Outlook\CTRZ0KJM\joanne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whitney\AppData\Local\Microsoft\Windows\Temporary Internet Files\Content.Outlook\CTRZ0KJM\joanneh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352" cy="1129011"/>
                          </a:xfrm>
                          <a:prstGeom prst="rect">
                            <a:avLst/>
                          </a:prstGeom>
                          <a:noFill/>
                          <a:ln>
                            <a:noFill/>
                          </a:ln>
                        </pic:spPr>
                      </pic:pic>
                    </a:graphicData>
                  </a:graphic>
                </wp:inline>
              </w:drawing>
            </w:r>
          </w:p>
        </w:tc>
        <w:tc>
          <w:tcPr>
            <w:tcW w:w="4235" w:type="pct"/>
            <w:gridSpan w:val="4"/>
            <w:tcBorders>
              <w:bottom w:val="single" w:sz="24" w:space="0" w:color="auto"/>
            </w:tcBorders>
          </w:tcPr>
          <w:p w:rsidR="00765F72" w:rsidRPr="00765F72" w:rsidRDefault="00765F72" w:rsidP="00765F72">
            <w:r w:rsidRPr="00765F72">
              <w:t xml:space="preserve">Prior to joining the Ted Rogers School of Management, Dr. Joanne </w:t>
            </w:r>
            <w:proofErr w:type="spellStart"/>
            <w:r w:rsidRPr="00765F72">
              <w:t>McNeish</w:t>
            </w:r>
            <w:proofErr w:type="spellEnd"/>
            <w:r w:rsidRPr="00765F72">
              <w:t xml:space="preserve"> held senior research, marketing and advertising positions in public and private sector companies. She was made a Fellow of the Marketing Research and Intelligence Association in 2002. The MRIA Fellows program provides deserving recognition to those who have made distinguished contribution to marketing research in Canada. Joanne was one of the youngest candidates and one of only a handful of women to be so honored. She completed her PhD (Management) at the </w:t>
            </w:r>
            <w:proofErr w:type="spellStart"/>
            <w:r w:rsidRPr="00765F72">
              <w:t>Sprott</w:t>
            </w:r>
            <w:proofErr w:type="spellEnd"/>
            <w:r w:rsidRPr="00765F72">
              <w:t xml:space="preserve"> School of Business at Carleton University in 2010.</w:t>
            </w:r>
          </w:p>
          <w:p w:rsidR="00765F72" w:rsidRPr="00765F72" w:rsidRDefault="00765F72" w:rsidP="00765F72">
            <w:r w:rsidRPr="00765F72">
              <w:t xml:space="preserve">Joanne's research takes a unique perspective on exploring innovation adoption. While extant research focuses on consumers’ reaction to new technologies, her research focuses on the incumbent technologies that may be replaced by the new. Rather than identifying users’ intransigence in the face of a replacement innovation as non-adoption, resistance to innovation adoption or status quo </w:t>
            </w:r>
            <w:proofErr w:type="spellStart"/>
            <w:r w:rsidRPr="00765F72">
              <w:t>behaviour</w:t>
            </w:r>
            <w:proofErr w:type="spellEnd"/>
            <w:r w:rsidRPr="00765F72">
              <w:t xml:space="preserve">, Joanne identifies and test the </w:t>
            </w:r>
            <w:proofErr w:type="spellStart"/>
            <w:r w:rsidRPr="00765F72">
              <w:t>behaviour</w:t>
            </w:r>
            <w:proofErr w:type="spellEnd"/>
            <w:r w:rsidRPr="00765F72">
              <w:t xml:space="preserve"> as resistance to discontinuing an incumbent technology.</w:t>
            </w:r>
          </w:p>
          <w:p w:rsidR="00765F72" w:rsidRPr="00765F72" w:rsidRDefault="00765F72" w:rsidP="00765F72"/>
          <w:p w:rsidR="00765F72" w:rsidRPr="00765F72" w:rsidRDefault="00765F72" w:rsidP="00765F72">
            <w:r w:rsidRPr="00765F72">
              <w:t xml:space="preserve">Joanne focuses on understanding the attitudes and behavior of simultaneous users, rather than non-adopters or full adopters (only use the replacement innovation). She believes that the consumer who demonstrates simultaneous use </w:t>
            </w:r>
            <w:proofErr w:type="spellStart"/>
            <w:r w:rsidRPr="00765F72">
              <w:t>behaviour</w:t>
            </w:r>
            <w:proofErr w:type="spellEnd"/>
            <w:r w:rsidRPr="00765F72">
              <w:t xml:space="preserve"> has consciously considered the benefits of both the incumbent and replacement technology. The long-term use of both suggests that the user believes that each technology has important benefits that one or the other does not have.</w:t>
            </w:r>
          </w:p>
          <w:p w:rsidR="00765F72" w:rsidRPr="00765F72" w:rsidRDefault="00765F72" w:rsidP="00765F72"/>
          <w:p w:rsidR="00765F72" w:rsidRPr="00765F72" w:rsidRDefault="00765F72" w:rsidP="00765F72">
            <w:r w:rsidRPr="00765F72">
              <w:t>Joanne has a particular interest in paper documents (e.g. bills and statements, textbooks, books used for leisure reading) as a powerful examples of resilient technologies. Paper documents are particularly fascinating objects to explore since they are widely available and consumers are very familiar with them. However, until her research, their meaning and function to consumers has been obscured from the researchers’ view due to their ubiquity and familiarity.</w:t>
            </w:r>
          </w:p>
          <w:p w:rsidR="00765F72" w:rsidRDefault="00765F72"/>
        </w:tc>
      </w:tr>
      <w:tr w:rsidR="008A1C74" w:rsidTr="000A0F94">
        <w:tc>
          <w:tcPr>
            <w:tcW w:w="765" w:type="pct"/>
            <w:tcBorders>
              <w:top w:val="single" w:sz="24" w:space="0" w:color="auto"/>
              <w:bottom w:val="single" w:sz="4" w:space="0" w:color="auto"/>
            </w:tcBorders>
          </w:tcPr>
          <w:p w:rsidR="00770BD5" w:rsidRDefault="009254D5" w:rsidP="009254D5">
            <w:r>
              <w:t xml:space="preserve">Doug </w:t>
            </w:r>
            <w:proofErr w:type="spellStart"/>
            <w:r>
              <w:t>Orendorff</w:t>
            </w:r>
            <w:proofErr w:type="spellEnd"/>
          </w:p>
        </w:tc>
        <w:tc>
          <w:tcPr>
            <w:tcW w:w="460" w:type="pct"/>
            <w:tcBorders>
              <w:top w:val="single" w:sz="24" w:space="0" w:color="auto"/>
              <w:bottom w:val="single" w:sz="4" w:space="0" w:color="auto"/>
            </w:tcBorders>
          </w:tcPr>
          <w:p w:rsidR="00770BD5" w:rsidRPr="009254D5" w:rsidRDefault="009254D5" w:rsidP="009254D5">
            <w:r w:rsidRPr="009254D5">
              <w:t>2006</w:t>
            </w:r>
          </w:p>
        </w:tc>
        <w:tc>
          <w:tcPr>
            <w:tcW w:w="460" w:type="pct"/>
            <w:tcBorders>
              <w:top w:val="single" w:sz="24" w:space="0" w:color="auto"/>
              <w:bottom w:val="single" w:sz="4" w:space="0" w:color="auto"/>
            </w:tcBorders>
          </w:tcPr>
          <w:p w:rsidR="00770BD5" w:rsidRPr="009254D5" w:rsidRDefault="009254D5" w:rsidP="009254D5">
            <w:r>
              <w:t xml:space="preserve">A </w:t>
            </w:r>
            <w:r w:rsidRPr="009254D5">
              <w:t>Ramirez</w:t>
            </w:r>
          </w:p>
        </w:tc>
        <w:tc>
          <w:tcPr>
            <w:tcW w:w="2188" w:type="pct"/>
            <w:tcBorders>
              <w:top w:val="single" w:sz="24" w:space="0" w:color="auto"/>
              <w:bottom w:val="single" w:sz="4" w:space="0" w:color="auto"/>
            </w:tcBorders>
          </w:tcPr>
          <w:p w:rsidR="00770BD5" w:rsidRDefault="009254D5">
            <w:r w:rsidRPr="009254D5">
              <w:t>An Assessment of the State of Knowledge Transfer in Health Services: A Framework and a Health Services Case Study</w:t>
            </w:r>
          </w:p>
        </w:tc>
        <w:tc>
          <w:tcPr>
            <w:tcW w:w="1127" w:type="pct"/>
            <w:tcBorders>
              <w:top w:val="single" w:sz="24" w:space="0" w:color="auto"/>
              <w:bottom w:val="single" w:sz="4" w:space="0" w:color="auto"/>
            </w:tcBorders>
          </w:tcPr>
          <w:p w:rsidR="00770BD5" w:rsidRDefault="009254D5">
            <w:r>
              <w:t>See profile</w:t>
            </w:r>
            <w:r w:rsidR="008A1C74">
              <w:t xml:space="preserve"> below</w:t>
            </w:r>
          </w:p>
        </w:tc>
      </w:tr>
      <w:tr w:rsidR="009254D5" w:rsidTr="008A1C74">
        <w:tc>
          <w:tcPr>
            <w:tcW w:w="765" w:type="pct"/>
            <w:tcBorders>
              <w:bottom w:val="single" w:sz="24" w:space="0" w:color="auto"/>
            </w:tcBorders>
          </w:tcPr>
          <w:p w:rsidR="009254D5" w:rsidRDefault="008A1C74" w:rsidP="008A1C74">
            <w:pPr>
              <w:jc w:val="right"/>
            </w:pPr>
            <w:r>
              <w:t>Profile:</w:t>
            </w:r>
          </w:p>
          <w:p w:rsidR="008A1C74" w:rsidRDefault="008A1C74" w:rsidP="008A1C74">
            <w:pPr>
              <w:jc w:val="center"/>
            </w:pPr>
            <w:r w:rsidRPr="00D627F7">
              <w:rPr>
                <w:noProof/>
              </w:rPr>
              <w:drawing>
                <wp:inline distT="0" distB="0" distL="0" distR="0" wp14:anchorId="07A2D382" wp14:editId="0C98E870">
                  <wp:extent cx="1121434" cy="1112665"/>
                  <wp:effectExtent l="0" t="0" r="2540" b="0"/>
                  <wp:docPr id="22" name="Picture 15" descr="Doug Orendo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Orendorff.JPG"/>
                          <pic:cNvPicPr/>
                        </pic:nvPicPr>
                        <pic:blipFill>
                          <a:blip r:embed="rId10" cstate="print"/>
                          <a:stretch>
                            <a:fillRect/>
                          </a:stretch>
                        </pic:blipFill>
                        <pic:spPr>
                          <a:xfrm>
                            <a:off x="0" y="0"/>
                            <a:ext cx="1125781" cy="1116978"/>
                          </a:xfrm>
                          <a:prstGeom prst="rect">
                            <a:avLst/>
                          </a:prstGeom>
                        </pic:spPr>
                      </pic:pic>
                    </a:graphicData>
                  </a:graphic>
                </wp:inline>
              </w:drawing>
            </w:r>
          </w:p>
        </w:tc>
        <w:tc>
          <w:tcPr>
            <w:tcW w:w="4235" w:type="pct"/>
            <w:gridSpan w:val="4"/>
            <w:tcBorders>
              <w:bottom w:val="single" w:sz="24" w:space="0" w:color="auto"/>
            </w:tcBorders>
          </w:tcPr>
          <w:p w:rsidR="009254D5" w:rsidRPr="009254D5" w:rsidRDefault="009254D5" w:rsidP="009254D5">
            <w:r w:rsidRPr="009254D5">
              <w:t xml:space="preserve">Doug’s board governance experience includes board member for Algonquin College (2008 to 2014); the Somerset West Community Health Center (1997 to 2002); the University of Ottawa MHA Program Advisory Committee (2000 to 2005); and Community Organizational Health (1998 to 2004). Doug has also taught governance in the University of Ottawa MBA program and has researched effective nonprofit board governance. </w:t>
            </w:r>
          </w:p>
          <w:p w:rsidR="009254D5" w:rsidRPr="009254D5" w:rsidRDefault="009254D5" w:rsidP="009254D5">
            <w:r w:rsidRPr="009254D5">
              <w:t>In six years on the Algonquin board Doug was Vice Chair from 2010 to 2014; a member of the Audit Committee 2008-2014; Governance Committee 2010-2014; and Academic and Student Affairs Committee 2014. Major achievements include an updated governance structure (revised bylaws, revamped governance policies, a new risk management focus to the audit committee), selection committee for a new CEO; developed a new CEO performance measurement and compensation process, and a key participant in development of a new strategic plan with balanced scorecard monitoring. This board was responsible for $190M in infrastructure, over 50 new academic programs; and a new international campus in Saudi Arabia.</w:t>
            </w:r>
          </w:p>
          <w:p w:rsidR="009254D5" w:rsidRPr="009254D5" w:rsidRDefault="009254D5" w:rsidP="009254D5">
            <w:r w:rsidRPr="009254D5">
              <w:t xml:space="preserve">Doug lectured at the University of Ottawa in 1994 and 1997 and held a one-year term teaching position at Carleton University in 1997/98. His academic achievements include a Ph.D. in Business from Carleton University (2006), a Master in Health Administration (1994) and a Master of Business Administration (1992), both from the University of Ottawa. </w:t>
            </w:r>
          </w:p>
          <w:p w:rsidR="009254D5" w:rsidRPr="009254D5" w:rsidRDefault="009254D5" w:rsidP="009254D5">
            <w:r w:rsidRPr="009254D5">
              <w:lastRenderedPageBreak/>
              <w:t xml:space="preserve">In addition, Doug has over three decades’ of health services and management consulting experience. As a person with Parkinson’s disease he is a leading advocate of patient-centered care. Doug is currently researching the sustainability of the Canadian health system and bragging about Canada.  </w:t>
            </w:r>
          </w:p>
          <w:p w:rsidR="009254D5" w:rsidRDefault="009254D5"/>
        </w:tc>
      </w:tr>
      <w:tr w:rsidR="008A1C74" w:rsidTr="000A0F94">
        <w:tc>
          <w:tcPr>
            <w:tcW w:w="765" w:type="pct"/>
            <w:tcBorders>
              <w:top w:val="single" w:sz="24" w:space="0" w:color="auto"/>
              <w:bottom w:val="single" w:sz="4" w:space="0" w:color="auto"/>
            </w:tcBorders>
          </w:tcPr>
          <w:p w:rsidR="00770BD5" w:rsidRDefault="000A0F94">
            <w:r>
              <w:lastRenderedPageBreak/>
              <w:t>Norm O’Reilly</w:t>
            </w:r>
          </w:p>
        </w:tc>
        <w:tc>
          <w:tcPr>
            <w:tcW w:w="460" w:type="pct"/>
            <w:tcBorders>
              <w:top w:val="single" w:sz="24" w:space="0" w:color="auto"/>
              <w:bottom w:val="single" w:sz="4" w:space="0" w:color="auto"/>
            </w:tcBorders>
          </w:tcPr>
          <w:p w:rsidR="00770BD5" w:rsidRDefault="000A0F94">
            <w:r>
              <w:t>2007</w:t>
            </w:r>
          </w:p>
        </w:tc>
        <w:tc>
          <w:tcPr>
            <w:tcW w:w="460" w:type="pct"/>
            <w:tcBorders>
              <w:top w:val="single" w:sz="24" w:space="0" w:color="auto"/>
              <w:bottom w:val="single" w:sz="4" w:space="0" w:color="auto"/>
            </w:tcBorders>
          </w:tcPr>
          <w:p w:rsidR="00770BD5" w:rsidRDefault="000A0F94">
            <w:r>
              <w:t>Madill</w:t>
            </w:r>
          </w:p>
        </w:tc>
        <w:tc>
          <w:tcPr>
            <w:tcW w:w="2188" w:type="pct"/>
            <w:tcBorders>
              <w:top w:val="single" w:sz="24" w:space="0" w:color="auto"/>
              <w:bottom w:val="single" w:sz="4" w:space="0" w:color="auto"/>
            </w:tcBorders>
          </w:tcPr>
          <w:p w:rsidR="00770BD5" w:rsidRDefault="000A0F94">
            <w:r>
              <w:t>Sponsorship Evaluation</w:t>
            </w:r>
          </w:p>
        </w:tc>
        <w:tc>
          <w:tcPr>
            <w:tcW w:w="1127" w:type="pct"/>
            <w:tcBorders>
              <w:top w:val="single" w:sz="24" w:space="0" w:color="auto"/>
              <w:bottom w:val="single" w:sz="4" w:space="0" w:color="auto"/>
            </w:tcBorders>
          </w:tcPr>
          <w:p w:rsidR="00770BD5" w:rsidRDefault="000A0F94">
            <w:r>
              <w:t>Chair, Department of Sports Administration</w:t>
            </w:r>
          </w:p>
          <w:p w:rsidR="000A0F94" w:rsidRDefault="000A0F94">
            <w:r>
              <w:t>Ohio University</w:t>
            </w:r>
          </w:p>
        </w:tc>
      </w:tr>
      <w:tr w:rsidR="000A0F94" w:rsidTr="000A0F94">
        <w:tc>
          <w:tcPr>
            <w:tcW w:w="765" w:type="pct"/>
            <w:tcBorders>
              <w:bottom w:val="single" w:sz="24" w:space="0" w:color="auto"/>
            </w:tcBorders>
          </w:tcPr>
          <w:p w:rsidR="000A0F94" w:rsidRDefault="000A0F94" w:rsidP="000A0F94">
            <w:pPr>
              <w:jc w:val="right"/>
            </w:pPr>
            <w:r>
              <w:t>Profile:</w:t>
            </w:r>
          </w:p>
          <w:p w:rsidR="000A0F94" w:rsidRDefault="000A0F94" w:rsidP="000A0F94">
            <w:pPr>
              <w:jc w:val="center"/>
            </w:pPr>
            <w:r w:rsidRPr="000A0F94">
              <w:rPr>
                <w:noProof/>
              </w:rPr>
              <w:drawing>
                <wp:inline distT="0" distB="0" distL="0" distR="0" wp14:anchorId="590CFF09" wp14:editId="62A0EB9C">
                  <wp:extent cx="932535" cy="1486894"/>
                  <wp:effectExtent l="0" t="0" r="1270" b="0"/>
                  <wp:docPr id="5" name="Picture 5" descr="C:\Users\jessicawhitney\AppData\Local\Microsoft\Windows\Temporary Internet Files\Content.Outlook\CTRZ0KJM\Norm_OReilly_Feb_2014 (000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whitney\AppData\Local\Microsoft\Windows\Temporary Internet Files\Content.Outlook\CTRZ0KJM\Norm_OReilly_Feb_2014 (0000000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454" cy="1491548"/>
                          </a:xfrm>
                          <a:prstGeom prst="rect">
                            <a:avLst/>
                          </a:prstGeom>
                          <a:noFill/>
                          <a:ln>
                            <a:noFill/>
                          </a:ln>
                        </pic:spPr>
                      </pic:pic>
                    </a:graphicData>
                  </a:graphic>
                </wp:inline>
              </w:drawing>
            </w:r>
          </w:p>
        </w:tc>
        <w:tc>
          <w:tcPr>
            <w:tcW w:w="4235" w:type="pct"/>
            <w:gridSpan w:val="4"/>
            <w:tcBorders>
              <w:bottom w:val="single" w:sz="24" w:space="0" w:color="auto"/>
            </w:tcBorders>
          </w:tcPr>
          <w:p w:rsidR="000A0F94" w:rsidRDefault="000A0F94" w:rsidP="000A0F94">
            <w:r>
              <w:rPr>
                <w:bCs/>
              </w:rPr>
              <w:t xml:space="preserve">Norm O’Reilly </w:t>
            </w:r>
            <w:r>
              <w:t xml:space="preserve">is recognized as one of the leading scholars in sport business. He holds the </w:t>
            </w:r>
            <w:r>
              <w:rPr>
                <w:i/>
              </w:rPr>
              <w:t>Richard P. and Joan S. Fox Professor of Business</w:t>
            </w:r>
            <w:r>
              <w:t xml:space="preserve"> and is Chair of the Department of Sports Administration at Ohio University’s College of Business. Dr. O’Reilly has expertise in a range of business topics, including marketing, sponsorship, social media, sport finance, social marketing, tourism management, and management education. He has authored or co-authored seven books, 14 case studies in the Harvard/Stanford series, and more than 85 peer-reviewed journal articles. His publications include the 2015 book </w:t>
            </w:r>
            <w:r>
              <w:rPr>
                <w:i/>
                <w:lang w:val="en-CA"/>
              </w:rPr>
              <w:t>Global Sport Marketing: Sponsorship, Ambush Marketing and the Olympic Games</w:t>
            </w:r>
            <w:r>
              <w:rPr>
                <w:lang w:val="en-CA"/>
              </w:rPr>
              <w:t xml:space="preserve">, with Richard Pound, Rick Burton, Benoit Seguin and Michelle Brunette. </w:t>
            </w:r>
            <w:r>
              <w:t xml:space="preserve">At conferences, he has won 11 Best Paper awards and has more than 135 conference presentations to his credit. Dr. O’Reilly is the lead researcher on the Canadian Sponsorship Landscape Study, a highlight of the annual Canadian Sponsorship Forum since 2007, currently in its tenth edition. </w:t>
            </w:r>
          </w:p>
          <w:p w:rsidR="000A0F94" w:rsidRDefault="000A0F94" w:rsidP="000A0F94">
            <w:r>
              <w:br/>
              <w:t xml:space="preserve">Recently, Dr. O’Reilly was awarded the Career Achievement Award by the </w:t>
            </w:r>
            <w:r>
              <w:rPr>
                <w:lang w:val="en-CA"/>
              </w:rPr>
              <w:t>American Marketing Association’s Sport Marketing Special Interest Group.</w:t>
            </w:r>
          </w:p>
          <w:p w:rsidR="000A0F94" w:rsidRDefault="000A0F94" w:rsidP="000A0F94">
            <w:pPr>
              <w:rPr>
                <w:lang w:val="en-CA"/>
              </w:rPr>
            </w:pPr>
          </w:p>
          <w:p w:rsidR="000A0F94" w:rsidRDefault="000A0F94" w:rsidP="000A0F94">
            <w:r>
              <w:t xml:space="preserve">Dr. O’Reilly works closely with industry. He was recognized in 2013 as one of the “Five to Watch” in sport business in Canada by the Globe and Mail and is a lifetime Research Fellow of the North American Society for Sport Management. In 2011, he was the recipient of the University of Ottawa’s Media Excellence Award (for media coverage of his research). For nearly 10 years, he has been minority owner and senior advisor with the Consulting Group of Toronto-based marketing agency, </w:t>
            </w:r>
            <w:proofErr w:type="spellStart"/>
            <w:r>
              <w:t>TrojanOne</w:t>
            </w:r>
            <w:proofErr w:type="spellEnd"/>
            <w:r>
              <w:t>, where he has worked for clients including Nike, UFC, Nissan, and many more. He also acts as a specialist on legal cases and has sat on the boards of many sport organizations. Dr. O’Reilly has been named ‘Assistant Chef de Mission’ for the Canadian Paralympic Team headed to the 2016 Paralympic Games in Rio, Brazil.</w:t>
            </w:r>
          </w:p>
          <w:p w:rsidR="000A0F94" w:rsidRDefault="000A0F94" w:rsidP="000A0F94"/>
          <w:p w:rsidR="000A0F94" w:rsidRDefault="000A0F94" w:rsidP="000A0F94">
            <w:r>
              <w:t xml:space="preserve">Prior to coming to Ohio University, Dr. O’Reilly has taught at the University of Ottawa, the David Falk Center for Sport Management at Syracuse University, the Graduate School of Business at Stanford University, the School of Sports Administration at Laurentian University, and the Ted Rogers School of Management at Ryerson University. He has previously held positions as school director, vice-dean and director of a research </w:t>
            </w:r>
            <w:proofErr w:type="spellStart"/>
            <w:r>
              <w:t>centre</w:t>
            </w:r>
            <w:proofErr w:type="spellEnd"/>
            <w:r>
              <w:t xml:space="preserve">. Dr. O’Reilly holds a PhD in Management from the </w:t>
            </w:r>
            <w:proofErr w:type="spellStart"/>
            <w:r>
              <w:t>Sprott</w:t>
            </w:r>
            <w:proofErr w:type="spellEnd"/>
            <w:r>
              <w:t xml:space="preserve"> School of Business at Carleton University, a MBA from the Telfer School of Management at the University of Ottawa, a MA in Sports Administration from the University of Ottawa, and a B.Sc. (Kinesiology) from the University of Waterloo. He currently holds visiting/adjunct appointments in Canada and Australia, and also holds the CGA/CPA Accounting Designation. Prior to joining academia, Dr. O’Reilly had involvement as an administrator, including senior policy officer at Sport Canada, team manager and office manager at Triathlon Canada, and event manager for the 2008 Toronto Olympic Bid. He has been a member of the 2004, 2008 and 2010 Mission Staff for the Canadian Olympic Committee at the Olympic Games, and attended the 2012 Olympic Games in a research capacity. </w:t>
            </w:r>
          </w:p>
          <w:p w:rsidR="000A0F94" w:rsidRDefault="000A0F94"/>
        </w:tc>
      </w:tr>
      <w:tr w:rsidR="008A1C74" w:rsidTr="00131341">
        <w:tc>
          <w:tcPr>
            <w:tcW w:w="765" w:type="pct"/>
            <w:tcBorders>
              <w:top w:val="single" w:sz="24" w:space="0" w:color="auto"/>
              <w:bottom w:val="single" w:sz="4" w:space="0" w:color="auto"/>
            </w:tcBorders>
          </w:tcPr>
          <w:p w:rsidR="00770BD5" w:rsidRDefault="00131341">
            <w:r>
              <w:lastRenderedPageBreak/>
              <w:t>Diane Isabelle</w:t>
            </w:r>
          </w:p>
        </w:tc>
        <w:tc>
          <w:tcPr>
            <w:tcW w:w="460" w:type="pct"/>
            <w:tcBorders>
              <w:top w:val="single" w:sz="24" w:space="0" w:color="auto"/>
              <w:bottom w:val="single" w:sz="4" w:space="0" w:color="auto"/>
            </w:tcBorders>
          </w:tcPr>
          <w:p w:rsidR="00770BD5" w:rsidRDefault="00131341">
            <w:r>
              <w:t>2007</w:t>
            </w:r>
          </w:p>
        </w:tc>
        <w:tc>
          <w:tcPr>
            <w:tcW w:w="460" w:type="pct"/>
            <w:tcBorders>
              <w:top w:val="single" w:sz="24" w:space="0" w:color="auto"/>
              <w:bottom w:val="single" w:sz="4" w:space="0" w:color="auto"/>
            </w:tcBorders>
          </w:tcPr>
          <w:p w:rsidR="00770BD5" w:rsidRDefault="00131341">
            <w:proofErr w:type="spellStart"/>
            <w:r>
              <w:t>Heslop</w:t>
            </w:r>
            <w:proofErr w:type="spellEnd"/>
          </w:p>
        </w:tc>
        <w:tc>
          <w:tcPr>
            <w:tcW w:w="2188" w:type="pct"/>
            <w:tcBorders>
              <w:top w:val="single" w:sz="24" w:space="0" w:color="auto"/>
              <w:bottom w:val="single" w:sz="4" w:space="0" w:color="auto"/>
            </w:tcBorders>
          </w:tcPr>
          <w:p w:rsidR="00770BD5" w:rsidRDefault="00131341">
            <w:r w:rsidRPr="00131341">
              <w:t>National Innovation Systems, Social Capital and Country Image: A Multi-Country Study of International Scientific Collaborations</w:t>
            </w:r>
            <w:bookmarkStart w:id="0" w:name="_GoBack"/>
            <w:bookmarkEnd w:id="0"/>
          </w:p>
        </w:tc>
        <w:tc>
          <w:tcPr>
            <w:tcW w:w="1127" w:type="pct"/>
            <w:tcBorders>
              <w:top w:val="single" w:sz="24" w:space="0" w:color="auto"/>
              <w:bottom w:val="single" w:sz="4" w:space="0" w:color="auto"/>
            </w:tcBorders>
          </w:tcPr>
          <w:p w:rsidR="00770BD5" w:rsidRDefault="00131341">
            <w:r>
              <w:t>Assistant Professor, Global Entrepreneurship</w:t>
            </w:r>
          </w:p>
          <w:p w:rsidR="00131341" w:rsidRDefault="00131341">
            <w:proofErr w:type="spellStart"/>
            <w:r>
              <w:t>Sprott</w:t>
            </w:r>
            <w:proofErr w:type="spellEnd"/>
            <w:r>
              <w:t xml:space="preserve"> School of Business</w:t>
            </w:r>
          </w:p>
        </w:tc>
      </w:tr>
      <w:tr w:rsidR="00131341" w:rsidTr="00131341">
        <w:tc>
          <w:tcPr>
            <w:tcW w:w="765" w:type="pct"/>
            <w:tcBorders>
              <w:top w:val="single" w:sz="4" w:space="0" w:color="auto"/>
              <w:bottom w:val="single" w:sz="24" w:space="0" w:color="auto"/>
            </w:tcBorders>
          </w:tcPr>
          <w:p w:rsidR="00131341" w:rsidRDefault="00131341" w:rsidP="00131341">
            <w:pPr>
              <w:jc w:val="right"/>
            </w:pPr>
            <w:r>
              <w:t>Profile:</w:t>
            </w:r>
          </w:p>
          <w:p w:rsidR="00131341" w:rsidRDefault="00131341" w:rsidP="00131341">
            <w:pPr>
              <w:jc w:val="center"/>
            </w:pPr>
            <w:r w:rsidRPr="00131341">
              <w:rPr>
                <w:noProof/>
              </w:rPr>
              <w:drawing>
                <wp:inline distT="0" distB="0" distL="0" distR="0">
                  <wp:extent cx="979993"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538" cy="937779"/>
                          </a:xfrm>
                          <a:prstGeom prst="rect">
                            <a:avLst/>
                          </a:prstGeom>
                          <a:noFill/>
                          <a:ln>
                            <a:noFill/>
                          </a:ln>
                        </pic:spPr>
                      </pic:pic>
                    </a:graphicData>
                  </a:graphic>
                </wp:inline>
              </w:drawing>
            </w:r>
          </w:p>
        </w:tc>
        <w:tc>
          <w:tcPr>
            <w:tcW w:w="4235" w:type="pct"/>
            <w:gridSpan w:val="4"/>
            <w:tcBorders>
              <w:top w:val="single" w:sz="4" w:space="0" w:color="auto"/>
              <w:bottom w:val="single" w:sz="24" w:space="0" w:color="auto"/>
            </w:tcBorders>
          </w:tcPr>
          <w:p w:rsidR="00131341" w:rsidRDefault="00131341" w:rsidP="00131341">
            <w:r w:rsidRPr="00131341">
              <w:t xml:space="preserve">Diane A. Isabelle is an Assistant Professor, Global Entrepreneurship at </w:t>
            </w:r>
            <w:proofErr w:type="spellStart"/>
            <w:r w:rsidRPr="00131341">
              <w:t>Sprott</w:t>
            </w:r>
            <w:proofErr w:type="spellEnd"/>
            <w:r w:rsidRPr="00131341">
              <w:t xml:space="preserve"> School of</w:t>
            </w:r>
            <w:r>
              <w:t xml:space="preserve"> </w:t>
            </w:r>
            <w:r w:rsidRPr="00131341">
              <w:t xml:space="preserve">Business, </w:t>
            </w:r>
            <w:proofErr w:type="gramStart"/>
            <w:r w:rsidRPr="00131341">
              <w:t>Carle</w:t>
            </w:r>
            <w:r>
              <w:t>ton</w:t>
            </w:r>
            <w:proofErr w:type="gramEnd"/>
            <w:r>
              <w:t xml:space="preserve"> University since 2014, with </w:t>
            </w:r>
            <w:r w:rsidRPr="00131341">
              <w:t>extensive</w:t>
            </w:r>
            <w:r>
              <w:t xml:space="preserve"> professional experience in the </w:t>
            </w:r>
            <w:r w:rsidRPr="00131341">
              <w:t>private, government and academic sectors. She h</w:t>
            </w:r>
            <w:r>
              <w:t xml:space="preserve">olds a PhD in management with a </w:t>
            </w:r>
            <w:r w:rsidRPr="00131341">
              <w:t>focus on innovation and techno-entrepreneurship, an</w:t>
            </w:r>
            <w:r>
              <w:t xml:space="preserve"> MBA and an engineering degree. </w:t>
            </w:r>
            <w:r w:rsidRPr="00131341">
              <w:t>She is also the principal</w:t>
            </w:r>
            <w:r>
              <w:t xml:space="preserve"> of Diane Isabelle &amp; Associates Consultants, providing expert </w:t>
            </w:r>
            <w:r w:rsidRPr="00131341">
              <w:t>advice, research and analysis related to technology &amp; i</w:t>
            </w:r>
            <w:r>
              <w:t xml:space="preserve">nnovation management for public and private sector organizations. </w:t>
            </w:r>
          </w:p>
          <w:p w:rsidR="00131341" w:rsidRPr="00131341" w:rsidRDefault="00131341" w:rsidP="00131341">
            <w:r w:rsidRPr="00131341">
              <w:t>Prior to joining academia in 2011, Dr. Isabelle held severa</w:t>
            </w:r>
            <w:r>
              <w:t xml:space="preserve">l senior executive roles at the National Research </w:t>
            </w:r>
            <w:r w:rsidRPr="00131341">
              <w:t>Council of Canada (NRC), the</w:t>
            </w:r>
            <w:r>
              <w:t xml:space="preserve"> Government of Canada’s premier </w:t>
            </w:r>
            <w:r w:rsidRPr="00131341">
              <w:t>research and technology organization.</w:t>
            </w:r>
            <w:r>
              <w:t xml:space="preserve"> Her latest position at the NRC was that of the </w:t>
            </w:r>
            <w:r w:rsidRPr="00131341">
              <w:t xml:space="preserve">Executive Director to the VP, Emerging Technologies, </w:t>
            </w:r>
            <w:r>
              <w:t xml:space="preserve">overseeing a portfolio of eight </w:t>
            </w:r>
            <w:r w:rsidRPr="00131341">
              <w:t>res</w:t>
            </w:r>
            <w:r>
              <w:t xml:space="preserve">earch institutes located across </w:t>
            </w:r>
            <w:r w:rsidRPr="00131341">
              <w:t>Canada and working in</w:t>
            </w:r>
            <w:r>
              <w:t xml:space="preserve"> fields ranging from metrology, </w:t>
            </w:r>
            <w:r w:rsidRPr="00131341">
              <w:t>nanotechnology, IT, microstructural sciences t</w:t>
            </w:r>
            <w:r>
              <w:t xml:space="preserve">o astronomy and astrophysics. A key role </w:t>
            </w:r>
            <w:r w:rsidRPr="00131341">
              <w:t>at the NRC also included that of an Industrial Techno</w:t>
            </w:r>
            <w:r>
              <w:t xml:space="preserve">logy Advisor for NRC-Industrial </w:t>
            </w:r>
            <w:r w:rsidRPr="00131341">
              <w:t>Rese</w:t>
            </w:r>
            <w:r>
              <w:t xml:space="preserve">arch Assistance Program (IRAP). </w:t>
            </w:r>
            <w:r w:rsidRPr="00131341">
              <w:t>IRAP is the longe</w:t>
            </w:r>
            <w:r>
              <w:t xml:space="preserve">st standing and highly regarded </w:t>
            </w:r>
            <w:r w:rsidRPr="00131341">
              <w:t>federal industrial support program in Canada. IRAP’s g</w:t>
            </w:r>
            <w:r>
              <w:t xml:space="preserve">oal is to accelerate the growth </w:t>
            </w:r>
            <w:r w:rsidRPr="00131341">
              <w:t>and internationalization of Canadian SMEs through in</w:t>
            </w:r>
            <w:r>
              <w:t xml:space="preserve">novation, technology, financial </w:t>
            </w:r>
            <w:r w:rsidRPr="00131341">
              <w:t>support</w:t>
            </w:r>
            <w:r>
              <w:t xml:space="preserve">, advisory services, mentoring, </w:t>
            </w:r>
            <w:r w:rsidRPr="00131341">
              <w:t xml:space="preserve">networking </w:t>
            </w:r>
            <w:r>
              <w:t xml:space="preserve">and linkages. Prior to NRC, she </w:t>
            </w:r>
            <w:r w:rsidRPr="00131341">
              <w:t>worked as a project engineer for several multinatio</w:t>
            </w:r>
            <w:r>
              <w:t xml:space="preserve">nal firms such as GE and Boeing </w:t>
            </w:r>
            <w:r w:rsidRPr="00131341">
              <w:t>Aerospace.</w:t>
            </w:r>
          </w:p>
          <w:p w:rsidR="00131341" w:rsidRDefault="00131341" w:rsidP="00131341">
            <w:r w:rsidRPr="00131341">
              <w:t>Dr. Isabelle currently teaches in entrepreneurship, inte</w:t>
            </w:r>
            <w:r>
              <w:t xml:space="preserve">rnational business (UG and MBA, </w:t>
            </w:r>
            <w:r w:rsidRPr="00131341">
              <w:t>as well as te</w:t>
            </w:r>
            <w:r>
              <w:t xml:space="preserve">aching abroad in </w:t>
            </w:r>
            <w:proofErr w:type="spellStart"/>
            <w:r>
              <w:t>Sprott’s</w:t>
            </w:r>
            <w:proofErr w:type="spellEnd"/>
            <w:r>
              <w:t xml:space="preserve"> joint </w:t>
            </w:r>
            <w:r w:rsidRPr="00131341">
              <w:t>MBA progr</w:t>
            </w:r>
            <w:r>
              <w:t xml:space="preserve">ams with foreign universities). </w:t>
            </w:r>
            <w:r w:rsidRPr="00131341">
              <w:t>Selected areas of expertise include: techno-entrepreneursh</w:t>
            </w:r>
            <w:r>
              <w:t xml:space="preserve">ip, triple-helix collaboration; and </w:t>
            </w:r>
            <w:r w:rsidRPr="00131341">
              <w:t xml:space="preserve">Science, Technology &amp; Innovation policy. Her </w:t>
            </w:r>
            <w:r>
              <w:t xml:space="preserve">current research areas include: </w:t>
            </w:r>
            <w:r w:rsidRPr="00131341">
              <w:t>international collabor</w:t>
            </w:r>
            <w:r>
              <w:t xml:space="preserve">ations, business incubators and accelerators, innovation and </w:t>
            </w:r>
            <w:r w:rsidRPr="00131341">
              <w:t>entrepreneurship policies, student entrepreneur</w:t>
            </w:r>
            <w:r>
              <w:t xml:space="preserve">ship, international mobility of professional workers, and </w:t>
            </w:r>
            <w:r w:rsidRPr="00131341">
              <w:t>other related topics. She ha</w:t>
            </w:r>
            <w:r>
              <w:t xml:space="preserve">s received best paper awards as </w:t>
            </w:r>
            <w:r w:rsidRPr="00131341">
              <w:t>well as research funding. She publishes</w:t>
            </w:r>
            <w:r>
              <w:t xml:space="preserve"> in the field of innovation and entrepreneurship. </w:t>
            </w:r>
            <w:r w:rsidRPr="00131341">
              <w:t>Her spare time include flutist in a concert ban</w:t>
            </w:r>
            <w:r>
              <w:t xml:space="preserve">d, antique car restoration, and </w:t>
            </w:r>
            <w:r w:rsidRPr="00131341">
              <w:t>motorcycling.</w:t>
            </w:r>
          </w:p>
        </w:tc>
      </w:tr>
      <w:tr w:rsidR="00131341" w:rsidTr="000A0F94">
        <w:tc>
          <w:tcPr>
            <w:tcW w:w="765" w:type="pct"/>
            <w:tcBorders>
              <w:top w:val="single" w:sz="24" w:space="0" w:color="auto"/>
            </w:tcBorders>
          </w:tcPr>
          <w:p w:rsidR="00131341" w:rsidRDefault="00131341"/>
        </w:tc>
        <w:tc>
          <w:tcPr>
            <w:tcW w:w="460" w:type="pct"/>
            <w:tcBorders>
              <w:top w:val="single" w:sz="24" w:space="0" w:color="auto"/>
            </w:tcBorders>
          </w:tcPr>
          <w:p w:rsidR="00131341" w:rsidRDefault="00131341"/>
        </w:tc>
        <w:tc>
          <w:tcPr>
            <w:tcW w:w="460" w:type="pct"/>
            <w:tcBorders>
              <w:top w:val="single" w:sz="24" w:space="0" w:color="auto"/>
            </w:tcBorders>
          </w:tcPr>
          <w:p w:rsidR="00131341" w:rsidRDefault="00131341"/>
        </w:tc>
        <w:tc>
          <w:tcPr>
            <w:tcW w:w="2188" w:type="pct"/>
            <w:tcBorders>
              <w:top w:val="single" w:sz="24" w:space="0" w:color="auto"/>
            </w:tcBorders>
          </w:tcPr>
          <w:p w:rsidR="00131341" w:rsidRDefault="00131341"/>
        </w:tc>
        <w:tc>
          <w:tcPr>
            <w:tcW w:w="1127" w:type="pct"/>
            <w:tcBorders>
              <w:top w:val="single" w:sz="24" w:space="0" w:color="auto"/>
            </w:tcBorders>
          </w:tcPr>
          <w:p w:rsidR="00131341" w:rsidRDefault="00131341"/>
        </w:tc>
      </w:tr>
    </w:tbl>
    <w:p w:rsidR="00B117E3" w:rsidRDefault="00B117E3"/>
    <w:sectPr w:rsidR="00B117E3" w:rsidSect="00FB6E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7291"/>
    <w:multiLevelType w:val="hybridMultilevel"/>
    <w:tmpl w:val="6B307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215B9"/>
    <w:multiLevelType w:val="hybridMultilevel"/>
    <w:tmpl w:val="2348E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807B8"/>
    <w:multiLevelType w:val="hybridMultilevel"/>
    <w:tmpl w:val="B9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5"/>
    <w:rsid w:val="000A0F94"/>
    <w:rsid w:val="00131341"/>
    <w:rsid w:val="00765F72"/>
    <w:rsid w:val="00770BD5"/>
    <w:rsid w:val="007B7A40"/>
    <w:rsid w:val="008A1C74"/>
    <w:rsid w:val="009254D5"/>
    <w:rsid w:val="00B117E3"/>
    <w:rsid w:val="00FB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43EF6-47BC-4F1A-B95C-487DAA60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5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70B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0BD5"/>
    <w:rPr>
      <w:rFonts w:ascii="Calibri" w:hAnsi="Calibri"/>
      <w:szCs w:val="21"/>
    </w:rPr>
  </w:style>
  <w:style w:type="paragraph" w:styleId="NormalWeb">
    <w:name w:val="Normal (Web)"/>
    <w:basedOn w:val="Normal"/>
    <w:uiPriority w:val="99"/>
    <w:semiHidden/>
    <w:unhideWhenUsed/>
    <w:rsid w:val="00FB6E98"/>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B6E98"/>
    <w:rPr>
      <w:color w:val="0563C1"/>
      <w:u w:val="single"/>
    </w:rPr>
  </w:style>
  <w:style w:type="character" w:customStyle="1" w:styleId="Heading1Char">
    <w:name w:val="Heading 1 Char"/>
    <w:basedOn w:val="DefaultParagraphFont"/>
    <w:link w:val="Heading1"/>
    <w:uiPriority w:val="9"/>
    <w:rsid w:val="00765F7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2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321">
      <w:bodyDiv w:val="1"/>
      <w:marLeft w:val="0"/>
      <w:marRight w:val="0"/>
      <w:marTop w:val="0"/>
      <w:marBottom w:val="0"/>
      <w:divBdr>
        <w:top w:val="none" w:sz="0" w:space="0" w:color="auto"/>
        <w:left w:val="none" w:sz="0" w:space="0" w:color="auto"/>
        <w:bottom w:val="none" w:sz="0" w:space="0" w:color="auto"/>
        <w:right w:val="none" w:sz="0" w:space="0" w:color="auto"/>
      </w:divBdr>
    </w:div>
    <w:div w:id="388919956">
      <w:bodyDiv w:val="1"/>
      <w:marLeft w:val="0"/>
      <w:marRight w:val="0"/>
      <w:marTop w:val="0"/>
      <w:marBottom w:val="0"/>
      <w:divBdr>
        <w:top w:val="none" w:sz="0" w:space="0" w:color="auto"/>
        <w:left w:val="none" w:sz="0" w:space="0" w:color="auto"/>
        <w:bottom w:val="none" w:sz="0" w:space="0" w:color="auto"/>
        <w:right w:val="none" w:sz="0" w:space="0" w:color="auto"/>
      </w:divBdr>
    </w:div>
    <w:div w:id="1342126879">
      <w:bodyDiv w:val="1"/>
      <w:marLeft w:val="0"/>
      <w:marRight w:val="0"/>
      <w:marTop w:val="0"/>
      <w:marBottom w:val="0"/>
      <w:divBdr>
        <w:top w:val="none" w:sz="0" w:space="0" w:color="auto"/>
        <w:left w:val="none" w:sz="0" w:space="0" w:color="auto"/>
        <w:bottom w:val="none" w:sz="0" w:space="0" w:color="auto"/>
        <w:right w:val="none" w:sz="0" w:space="0" w:color="auto"/>
      </w:divBdr>
    </w:div>
    <w:div w:id="1518150664">
      <w:bodyDiv w:val="1"/>
      <w:marLeft w:val="0"/>
      <w:marRight w:val="0"/>
      <w:marTop w:val="0"/>
      <w:marBottom w:val="0"/>
      <w:divBdr>
        <w:top w:val="none" w:sz="0" w:space="0" w:color="auto"/>
        <w:left w:val="none" w:sz="0" w:space="0" w:color="auto"/>
        <w:bottom w:val="none" w:sz="0" w:space="0" w:color="auto"/>
        <w:right w:val="none" w:sz="0" w:space="0" w:color="auto"/>
      </w:divBdr>
    </w:div>
    <w:div w:id="1617058389">
      <w:bodyDiv w:val="1"/>
      <w:marLeft w:val="0"/>
      <w:marRight w:val="0"/>
      <w:marTop w:val="0"/>
      <w:marBottom w:val="0"/>
      <w:divBdr>
        <w:top w:val="none" w:sz="0" w:space="0" w:color="auto"/>
        <w:left w:val="none" w:sz="0" w:space="0" w:color="auto"/>
        <w:bottom w:val="none" w:sz="0" w:space="0" w:color="auto"/>
        <w:right w:val="none" w:sz="0" w:space="0" w:color="auto"/>
      </w:divBdr>
    </w:div>
    <w:div w:id="21361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p.edu/news/pdf/WalkerFlex.pdf" TargetMode="External"/><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5</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Whitney</dc:creator>
  <cp:keywords/>
  <dc:description/>
  <cp:lastModifiedBy>Jessica Whitney</cp:lastModifiedBy>
  <cp:revision>3</cp:revision>
  <dcterms:created xsi:type="dcterms:W3CDTF">2015-08-05T13:02:00Z</dcterms:created>
  <dcterms:modified xsi:type="dcterms:W3CDTF">2015-08-17T15:33:00Z</dcterms:modified>
</cp:coreProperties>
</file>